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1DB1" w14:textId="43FC449A" w:rsidR="00015088" w:rsidRDefault="00015088" w:rsidP="00015088">
      <w:pPr>
        <w:jc w:val="center"/>
        <w:rPr>
          <w:u w:val="single"/>
        </w:rPr>
      </w:pPr>
      <w:r>
        <w:rPr>
          <w:u w:val="single"/>
        </w:rPr>
        <w:t>PUBLIC PARTICIPATION IN RULE MAKING PROCESS</w:t>
      </w:r>
    </w:p>
    <w:p w14:paraId="28CAE0C3" w14:textId="77777777" w:rsidR="00015088" w:rsidRDefault="00015088" w:rsidP="00015088">
      <w:pPr>
        <w:jc w:val="center"/>
        <w:rPr>
          <w:u w:val="single"/>
        </w:rPr>
      </w:pPr>
    </w:p>
    <w:p w14:paraId="6B50B2B8" w14:textId="19545AC6" w:rsidR="00015088" w:rsidRDefault="00015088">
      <w:r>
        <w:rPr>
          <w:u w:val="single"/>
        </w:rPr>
        <w:t>Miss. Code Ann.</w:t>
      </w:r>
      <w:r>
        <w:t xml:space="preserve"> </w:t>
      </w:r>
      <w:r w:rsidRPr="00015088">
        <w:t xml:space="preserve">§ 25-43-3.104. Public participation.  </w:t>
      </w:r>
    </w:p>
    <w:p w14:paraId="1D3C6265" w14:textId="77777777" w:rsidR="00015088" w:rsidRDefault="00015088">
      <w:r w:rsidRPr="00015088">
        <w:t xml:space="preserve">(1) For at least twenty-five (25) days after proper filing with the Secretary of State of the notice of proposed rule adoption, an agency shall afford </w:t>
      </w:r>
      <w:proofErr w:type="gramStart"/>
      <w:r w:rsidRPr="00015088">
        <w:t>persons</w:t>
      </w:r>
      <w:proofErr w:type="gramEnd"/>
      <w:r w:rsidRPr="00015088">
        <w:t xml:space="preserve"> the opportunity to submit, in writing, argument, data and views on the proposed rule.  </w:t>
      </w:r>
    </w:p>
    <w:p w14:paraId="3E68FFC4" w14:textId="77777777" w:rsidR="00015088" w:rsidRDefault="00015088">
      <w:r w:rsidRPr="00015088">
        <w:t xml:space="preserve">(2)(a) An agency, in its discretion, may schedule an oral proceeding on any proposed rule. However, an agency shall schedule an oral proceeding on a proposed rule if, within twenty (20) days after the proper filing of the notice of proposed rule adoption, a written request for an oral proceeding is submitted by a political subdivision, an agency or ten (10) persons. At that proceeding, </w:t>
      </w:r>
      <w:proofErr w:type="gramStart"/>
      <w:r w:rsidRPr="00015088">
        <w:t>persons</w:t>
      </w:r>
      <w:proofErr w:type="gramEnd"/>
      <w:r w:rsidRPr="00015088">
        <w:t xml:space="preserve"> may present oral or written </w:t>
      </w:r>
      <w:proofErr w:type="gramStart"/>
      <w:r w:rsidRPr="00015088">
        <w:t>argument</w:t>
      </w:r>
      <w:proofErr w:type="gramEnd"/>
      <w:r w:rsidRPr="00015088">
        <w:t xml:space="preserve">, data and views on the proposed rule.  </w:t>
      </w:r>
    </w:p>
    <w:p w14:paraId="02385310" w14:textId="77777777" w:rsidR="00015088" w:rsidRDefault="00015088">
      <w:r w:rsidRPr="00015088">
        <w:t xml:space="preserve">(b) An oral proceeding on a proposed rule, if required, may not be held earlier than twenty (20) days after notice of its location and time is properly filed with the Secretary of State for publication in the administrative bulletin. Within three (3) days after its proper filing with the Secretary of State for publication in the administrative bulletin, the agency shall cause a copy of the notice of the location and time of the oral proceeding to be mailed to each person who has made a timely request to the agency to be placed on the mailing list maintained by the agency of persons who have requested notices of proposed rule adoptions.  </w:t>
      </w:r>
    </w:p>
    <w:p w14:paraId="6C79D7B0" w14:textId="77777777" w:rsidR="00015088" w:rsidRDefault="00015088">
      <w:r w:rsidRPr="00015088">
        <w:t xml:space="preserve">(c) The agency, a member of the agency, or another presiding officer designated by the agency shall preside at a required oral proceeding on a proposed rule. Oral proceedings must be open to the public and may be recorded by stenographic or other means.  </w:t>
      </w:r>
    </w:p>
    <w:p w14:paraId="349ADBD6" w14:textId="45D73786" w:rsidR="00F441F7" w:rsidRDefault="00015088">
      <w:r w:rsidRPr="00015088">
        <w:t xml:space="preserve">(d) An agency may issue rules for the conduct of oral rule-making proceedings or prepare reasonable guidelines or procedures for the conduct of any such proceedings. Those rules may include, but not be limited to, provisions calculated to prevent undue repetition in the oral proceedings.  </w:t>
      </w:r>
    </w:p>
    <w:p w14:paraId="4C1B8B5C" w14:textId="77777777" w:rsidR="00015088" w:rsidRDefault="00015088"/>
    <w:p w14:paraId="37265421" w14:textId="77777777" w:rsidR="00015088" w:rsidRDefault="00015088"/>
    <w:p w14:paraId="226FC0CE" w14:textId="77777777" w:rsidR="00015088" w:rsidRDefault="00015088"/>
    <w:p w14:paraId="3E73D6DB" w14:textId="4343A140" w:rsidR="00015088" w:rsidRPr="00015088" w:rsidRDefault="00015088" w:rsidP="00015088">
      <w:pPr>
        <w:jc w:val="center"/>
        <w:rPr>
          <w:u w:val="single"/>
        </w:rPr>
      </w:pPr>
      <w:r w:rsidRPr="00015088">
        <w:rPr>
          <w:u w:val="single"/>
        </w:rPr>
        <w:lastRenderedPageBreak/>
        <w:t>Guidelines for Participation in Public Hearing</w:t>
      </w:r>
    </w:p>
    <w:p w14:paraId="6EF412B6" w14:textId="54E05D9B" w:rsidR="00015088" w:rsidRPr="00015088" w:rsidRDefault="00015088" w:rsidP="00015088">
      <w:pPr>
        <w:rPr>
          <w:i/>
          <w:iCs/>
        </w:rPr>
      </w:pPr>
      <w:r w:rsidRPr="00015088">
        <w:rPr>
          <w:i/>
          <w:iCs/>
        </w:rPr>
        <w:t xml:space="preserve">Pursuant to </w:t>
      </w:r>
      <w:r w:rsidRPr="00015088">
        <w:rPr>
          <w:i/>
          <w:iCs/>
          <w:u w:val="single"/>
        </w:rPr>
        <w:t>Miss. Code Ann.</w:t>
      </w:r>
      <w:r w:rsidRPr="00015088">
        <w:rPr>
          <w:i/>
          <w:iCs/>
        </w:rPr>
        <w:t xml:space="preserve"> § 25-43-3.104 (d), an agency may issue rules for the conduct of oral rule-making proceedings or prepare reasonable guidelines or procedures for the conduct of any such proceedings. Those rules may include, but not be limited to, provisions calculated to prevent undue repetition in the oral proceedings.  </w:t>
      </w:r>
    </w:p>
    <w:p w14:paraId="1EBD5A86" w14:textId="247ED482" w:rsidR="00015088" w:rsidRDefault="00015088"/>
    <w:p w14:paraId="5A013709" w14:textId="0D666827" w:rsidR="00432006" w:rsidRDefault="00207C4E" w:rsidP="00432006">
      <w:pPr>
        <w:pStyle w:val="ListParagraph"/>
        <w:numPr>
          <w:ilvl w:val="0"/>
          <w:numId w:val="1"/>
        </w:numPr>
      </w:pPr>
      <w:proofErr w:type="gramStart"/>
      <w:r>
        <w:t>In order to</w:t>
      </w:r>
      <w:proofErr w:type="gramEnd"/>
      <w:r>
        <w:t xml:space="preserve"> speak at a scheduled public hearing regarding a proposed regulation, the speaker must first c</w:t>
      </w:r>
      <w:r w:rsidR="00015088">
        <w:t>omplete</w:t>
      </w:r>
      <w:r>
        <w:t xml:space="preserve"> and submit a</w:t>
      </w:r>
      <w:r w:rsidR="00015088">
        <w:t xml:space="preserve"> MSBDE speaker request form</w:t>
      </w:r>
      <w:r>
        <w:t xml:space="preserve"> no later than forty-eight (48) hours prior to the hearing.  </w:t>
      </w:r>
      <w:r w:rsidR="00432006">
        <w:t xml:space="preserve">The </w:t>
      </w:r>
      <w:proofErr w:type="gramStart"/>
      <w:r w:rsidR="00432006">
        <w:t>speaker</w:t>
      </w:r>
      <w:proofErr w:type="gramEnd"/>
      <w:r w:rsidR="00432006">
        <w:t xml:space="preserve"> request form shall include the following information:</w:t>
      </w:r>
    </w:p>
    <w:p w14:paraId="6D31AA64" w14:textId="048193D1" w:rsidR="00432006" w:rsidRDefault="00432006" w:rsidP="00432006">
      <w:pPr>
        <w:pStyle w:val="ListParagraph"/>
        <w:ind w:left="1440"/>
      </w:pPr>
    </w:p>
    <w:p w14:paraId="4E9398FE" w14:textId="77777777" w:rsidR="00432006" w:rsidRDefault="00432006" w:rsidP="00432006">
      <w:pPr>
        <w:pStyle w:val="ListParagraph"/>
        <w:numPr>
          <w:ilvl w:val="1"/>
          <w:numId w:val="1"/>
        </w:numPr>
      </w:pPr>
      <w:r>
        <w:t xml:space="preserve">Speaker’s full </w:t>
      </w:r>
      <w:proofErr w:type="gramStart"/>
      <w:r>
        <w:t>name;</w:t>
      </w:r>
      <w:proofErr w:type="gramEnd"/>
    </w:p>
    <w:p w14:paraId="69310FD0" w14:textId="201AFD87" w:rsidR="00DA5D41" w:rsidRDefault="00DA5D41" w:rsidP="00432006">
      <w:pPr>
        <w:pStyle w:val="ListParagraph"/>
        <w:numPr>
          <w:ilvl w:val="1"/>
          <w:numId w:val="1"/>
        </w:numPr>
      </w:pPr>
      <w:r>
        <w:t xml:space="preserve">Speaker’s contact </w:t>
      </w:r>
      <w:proofErr w:type="gramStart"/>
      <w:r>
        <w:t>information;</w:t>
      </w:r>
      <w:proofErr w:type="gramEnd"/>
    </w:p>
    <w:p w14:paraId="6AC32E4A" w14:textId="16CE0CB8" w:rsidR="00432006" w:rsidRDefault="00432006" w:rsidP="00432006">
      <w:pPr>
        <w:pStyle w:val="ListParagraph"/>
        <w:numPr>
          <w:ilvl w:val="1"/>
          <w:numId w:val="1"/>
        </w:numPr>
      </w:pPr>
      <w:r>
        <w:t xml:space="preserve">Interest or stake in the proposed </w:t>
      </w:r>
      <w:proofErr w:type="gramStart"/>
      <w:r>
        <w:t>regulation;</w:t>
      </w:r>
      <w:proofErr w:type="gramEnd"/>
    </w:p>
    <w:p w14:paraId="720EE3ED" w14:textId="2029B3C7" w:rsidR="00432006" w:rsidRDefault="00432006" w:rsidP="00432006">
      <w:pPr>
        <w:pStyle w:val="ListParagraph"/>
        <w:numPr>
          <w:ilvl w:val="1"/>
          <w:numId w:val="1"/>
        </w:numPr>
      </w:pPr>
      <w:r>
        <w:t xml:space="preserve">Identification of specific provisions of the proposed regulation which the speaker intends to </w:t>
      </w:r>
      <w:proofErr w:type="gramStart"/>
      <w:r>
        <w:t>address;</w:t>
      </w:r>
      <w:proofErr w:type="gramEnd"/>
    </w:p>
    <w:p w14:paraId="3AF41962" w14:textId="503B1041" w:rsidR="00424FA6" w:rsidRDefault="00424FA6" w:rsidP="00432006">
      <w:pPr>
        <w:pStyle w:val="ListParagraph"/>
        <w:numPr>
          <w:ilvl w:val="1"/>
          <w:numId w:val="1"/>
        </w:numPr>
      </w:pPr>
      <w:r>
        <w:t>Concise summary of the speaker’s intended commentary; and</w:t>
      </w:r>
    </w:p>
    <w:p w14:paraId="643E8532" w14:textId="1142639C" w:rsidR="00432006" w:rsidRDefault="00432006" w:rsidP="00432006">
      <w:pPr>
        <w:pStyle w:val="ListParagraph"/>
        <w:numPr>
          <w:ilvl w:val="1"/>
          <w:numId w:val="1"/>
        </w:numPr>
      </w:pPr>
      <w:r>
        <w:t xml:space="preserve">Attachment of supplement information which the speaker </w:t>
      </w:r>
      <w:proofErr w:type="gramStart"/>
      <w:r>
        <w:t>want</w:t>
      </w:r>
      <w:proofErr w:type="gramEnd"/>
      <w:r>
        <w:t xml:space="preserve"> the Board to </w:t>
      </w:r>
      <w:proofErr w:type="gramStart"/>
      <w:r>
        <w:t>consider;</w:t>
      </w:r>
      <w:proofErr w:type="gramEnd"/>
    </w:p>
    <w:p w14:paraId="4D59E66B" w14:textId="77777777" w:rsidR="00207C4E" w:rsidRDefault="00207C4E" w:rsidP="00207C4E">
      <w:pPr>
        <w:pStyle w:val="ListParagraph"/>
      </w:pPr>
    </w:p>
    <w:p w14:paraId="6B15B2D9" w14:textId="7B5B9AA3" w:rsidR="00207C4E" w:rsidRDefault="00207C4E" w:rsidP="00207C4E">
      <w:pPr>
        <w:pStyle w:val="ListParagraph"/>
        <w:numPr>
          <w:ilvl w:val="0"/>
          <w:numId w:val="1"/>
        </w:numPr>
      </w:pPr>
      <w:r>
        <w:t xml:space="preserve">The Board’s President, or designee, shall preside </w:t>
      </w:r>
      <w:r w:rsidR="00432006">
        <w:t>as Chair of</w:t>
      </w:r>
      <w:r>
        <w:t xml:space="preserve"> the hearing.</w:t>
      </w:r>
      <w:r w:rsidR="00432006">
        <w:t xml:space="preserve">  The Hearing Chair shall be responsible for maintaining decorum and recognizing speakers.  The order of speakers shall be</w:t>
      </w:r>
      <w:r w:rsidR="00424FA6">
        <w:t xml:space="preserve"> determined</w:t>
      </w:r>
      <w:r w:rsidR="00432006">
        <w:t xml:space="preserve"> at the discretion of the Hearing Chair.</w:t>
      </w:r>
      <w:r w:rsidR="00424FA6">
        <w:t xml:space="preserve">  The Hearing Chair may call for break periods as needed.</w:t>
      </w:r>
      <w:r w:rsidR="00B20ADA">
        <w:t xml:space="preserve">  Public attendance of the hearing may be limited according to maximum occupancy requirements of the location of the hearing.</w:t>
      </w:r>
    </w:p>
    <w:p w14:paraId="4169CF1D" w14:textId="77777777" w:rsidR="00432006" w:rsidRDefault="00432006" w:rsidP="00432006">
      <w:pPr>
        <w:pStyle w:val="ListParagraph"/>
      </w:pPr>
    </w:p>
    <w:p w14:paraId="55DC47B6" w14:textId="65F4AF76" w:rsidR="00424FA6" w:rsidRDefault="00424FA6" w:rsidP="00207C4E">
      <w:pPr>
        <w:pStyle w:val="ListParagraph"/>
        <w:numPr>
          <w:ilvl w:val="0"/>
          <w:numId w:val="1"/>
        </w:numPr>
      </w:pPr>
      <w:r>
        <w:t xml:space="preserve">At </w:t>
      </w:r>
      <w:r w:rsidR="00B20ADA">
        <w:t>his discretion, the</w:t>
      </w:r>
      <w:r>
        <w:t xml:space="preserve"> Hearing Chair,</w:t>
      </w:r>
      <w:r w:rsidR="00B20ADA">
        <w:t xml:space="preserve"> </w:t>
      </w:r>
      <w:r>
        <w:t xml:space="preserve">or designee, may make a brief presentation detailing the proposed regulatory changes at the inception of the </w:t>
      </w:r>
      <w:r w:rsidR="00B20ADA">
        <w:t>h</w:t>
      </w:r>
      <w:r>
        <w:t xml:space="preserve">earing.  Physical copies of the proposed regulatory changes will be available for </w:t>
      </w:r>
      <w:r w:rsidR="00B20ADA">
        <w:t>participants and public attendees.</w:t>
      </w:r>
    </w:p>
    <w:p w14:paraId="7EB7F25F" w14:textId="77777777" w:rsidR="00424FA6" w:rsidRDefault="00424FA6" w:rsidP="00424FA6">
      <w:pPr>
        <w:pStyle w:val="ListParagraph"/>
      </w:pPr>
    </w:p>
    <w:p w14:paraId="2FBEAFC4" w14:textId="4A706B96" w:rsidR="00432006" w:rsidRDefault="00432006" w:rsidP="00207C4E">
      <w:pPr>
        <w:pStyle w:val="ListParagraph"/>
        <w:numPr>
          <w:ilvl w:val="0"/>
          <w:numId w:val="1"/>
        </w:numPr>
      </w:pPr>
      <w:r>
        <w:t xml:space="preserve">Each speaker </w:t>
      </w:r>
      <w:proofErr w:type="gramStart"/>
      <w:r>
        <w:t>shall</w:t>
      </w:r>
      <w:proofErr w:type="gramEnd"/>
      <w:r>
        <w:t xml:space="preserve"> be allowed ten (10) minutes to address the Board, not including questions from the Board.  Board Members shall be allowed the opportunity to question </w:t>
      </w:r>
      <w:r>
        <w:lastRenderedPageBreak/>
        <w:t>speakers following each presentation.  At the discretion of the Hearing Chair, Board staff may also ask question the speaker.</w:t>
      </w:r>
      <w:r w:rsidR="00424FA6">
        <w:t xml:space="preserve">  </w:t>
      </w:r>
    </w:p>
    <w:p w14:paraId="17EAE6E1" w14:textId="77777777" w:rsidR="00432006" w:rsidRDefault="00432006" w:rsidP="00432006">
      <w:pPr>
        <w:pStyle w:val="ListParagraph"/>
      </w:pPr>
    </w:p>
    <w:p w14:paraId="75C4CBB1" w14:textId="51286C1E" w:rsidR="00552CBC" w:rsidRDefault="00552CBC" w:rsidP="00207C4E">
      <w:pPr>
        <w:pStyle w:val="ListParagraph"/>
        <w:numPr>
          <w:ilvl w:val="0"/>
          <w:numId w:val="1"/>
        </w:numPr>
      </w:pPr>
      <w:r>
        <w:t xml:space="preserve">The Hearing Chair may reasonably limit presentations in which the </w:t>
      </w:r>
      <w:r w:rsidR="00262350">
        <w:t xml:space="preserve">commentary is substantially </w:t>
      </w:r>
      <w:proofErr w:type="gramStart"/>
      <w:r w:rsidR="00262350">
        <w:t>similar to</w:t>
      </w:r>
      <w:proofErr w:type="gramEnd"/>
      <w:r w:rsidR="00262350">
        <w:t xml:space="preserve"> prior presentations.</w:t>
      </w:r>
    </w:p>
    <w:p w14:paraId="19C743B5" w14:textId="77777777" w:rsidR="00552CBC" w:rsidRDefault="00552CBC" w:rsidP="00552CBC">
      <w:pPr>
        <w:pStyle w:val="ListParagraph"/>
      </w:pPr>
    </w:p>
    <w:p w14:paraId="6A13E2A6" w14:textId="5D3C84F0" w:rsidR="00432006" w:rsidRDefault="00432006" w:rsidP="00207C4E">
      <w:pPr>
        <w:pStyle w:val="ListParagraph"/>
        <w:numPr>
          <w:ilvl w:val="0"/>
          <w:numId w:val="1"/>
        </w:numPr>
      </w:pPr>
      <w:r>
        <w:t xml:space="preserve">The Hearing Chair may </w:t>
      </w:r>
      <w:proofErr w:type="gramStart"/>
      <w:r>
        <w:t>excuse from participation and/or attendance</w:t>
      </w:r>
      <w:proofErr w:type="gramEnd"/>
      <w:r>
        <w:t xml:space="preserve"> any person that interferes with the orderly conduct of the </w:t>
      </w:r>
      <w:r w:rsidR="00B20ADA">
        <w:t>h</w:t>
      </w:r>
      <w:r>
        <w:t xml:space="preserve">earing.  The Hearing Chair should attempt to warn a participant or other public attendee to refrain from disruptive behaviors prior to excusal from the </w:t>
      </w:r>
      <w:r w:rsidR="00B20ADA">
        <w:t>h</w:t>
      </w:r>
      <w:r>
        <w:t xml:space="preserve">earing.  </w:t>
      </w:r>
    </w:p>
    <w:p w14:paraId="20B8335C" w14:textId="77777777" w:rsidR="00432006" w:rsidRDefault="00432006" w:rsidP="00432006">
      <w:pPr>
        <w:pStyle w:val="ListParagraph"/>
      </w:pPr>
    </w:p>
    <w:p w14:paraId="3317522C" w14:textId="77777777" w:rsidR="00432006" w:rsidRPr="00015088" w:rsidRDefault="00432006" w:rsidP="00B20ADA">
      <w:pPr>
        <w:pStyle w:val="ListParagraph"/>
      </w:pPr>
    </w:p>
    <w:sectPr w:rsidR="00432006" w:rsidRPr="0001508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0614" w14:textId="77777777" w:rsidR="00015088" w:rsidRDefault="00015088" w:rsidP="00015088">
      <w:pPr>
        <w:spacing w:after="0" w:line="240" w:lineRule="auto"/>
      </w:pPr>
      <w:r>
        <w:separator/>
      </w:r>
    </w:p>
  </w:endnote>
  <w:endnote w:type="continuationSeparator" w:id="0">
    <w:p w14:paraId="61747CB6" w14:textId="77777777" w:rsidR="00015088" w:rsidRDefault="00015088" w:rsidP="0001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E126C" w14:textId="26FF3375" w:rsidR="00680D57" w:rsidRDefault="00680D57">
    <w:pPr>
      <w:pStyle w:val="Footer"/>
    </w:pPr>
    <w:r>
      <w:rPr>
        <w:noProof/>
      </w:rPr>
      <mc:AlternateContent>
        <mc:Choice Requires="wpg">
          <w:drawing>
            <wp:anchor distT="0" distB="0" distL="114300" distR="114300" simplePos="0" relativeHeight="251662336" behindDoc="0" locked="0" layoutInCell="1" allowOverlap="1" wp14:anchorId="2765E453" wp14:editId="0AF50F4F">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4B911" w14:textId="4EF13A50" w:rsidR="00680D57" w:rsidRDefault="00680D57">
                            <w:pPr>
                              <w:pStyle w:val="Footer"/>
                              <w:tabs>
                                <w:tab w:val="clear" w:pos="4680"/>
                                <w:tab w:val="clear" w:pos="9360"/>
                              </w:tabs>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156082" w:themeColor="accent1"/>
                                    <w:sz w:val="20"/>
                                    <w:szCs w:val="20"/>
                                  </w:rPr>
                                  <w:t>public hearng guidelines</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Approved July 25, 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765E453" id="Group 174" o:spid="_x0000_s1027" style="position:absolute;margin-left:434.8pt;margin-top:0;width:486pt;height:21.6pt;z-index:251662336;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F14B911" w14:textId="4EF13A50" w:rsidR="00680D57" w:rsidRDefault="00680D57">
                      <w:pPr>
                        <w:pStyle w:val="Footer"/>
                        <w:tabs>
                          <w:tab w:val="clear" w:pos="4680"/>
                          <w:tab w:val="clear" w:pos="9360"/>
                        </w:tabs>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156082" w:themeColor="accent1"/>
                              <w:sz w:val="20"/>
                              <w:szCs w:val="20"/>
                            </w:rPr>
                            <w:t>public hearng guidelines</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Approved July 25, 2025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A7DAF" w14:textId="77777777" w:rsidR="00015088" w:rsidRDefault="00015088" w:rsidP="00015088">
      <w:pPr>
        <w:spacing w:after="0" w:line="240" w:lineRule="auto"/>
      </w:pPr>
      <w:r>
        <w:separator/>
      </w:r>
    </w:p>
  </w:footnote>
  <w:footnote w:type="continuationSeparator" w:id="0">
    <w:p w14:paraId="7752ABC5" w14:textId="77777777" w:rsidR="00015088" w:rsidRDefault="00015088" w:rsidP="00015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731E" w14:textId="77777777" w:rsidR="00015088" w:rsidRPr="00A4004C" w:rsidRDefault="00015088" w:rsidP="00A4004C">
    <w:pPr>
      <w:tabs>
        <w:tab w:val="center" w:pos="4680"/>
        <w:tab w:val="right" w:pos="9360"/>
      </w:tabs>
      <w:spacing w:after="0" w:line="240" w:lineRule="auto"/>
      <w:jc w:val="center"/>
      <w:rPr>
        <w:rFonts w:eastAsia="Calibri"/>
        <w:b/>
        <w:bCs/>
        <w:kern w:val="0"/>
        <w:sz w:val="32"/>
        <w:szCs w:val="28"/>
        <w14:ligatures w14:val="none"/>
      </w:rPr>
    </w:pPr>
    <w:r w:rsidRPr="00A4004C">
      <w:rPr>
        <w:rFonts w:eastAsia="Calibri"/>
        <w:b/>
        <w:bCs/>
        <w:kern w:val="0"/>
        <w:sz w:val="52"/>
        <w:szCs w:val="48"/>
        <w14:ligatures w14:val="none"/>
      </w:rPr>
      <w:t>M</w:t>
    </w:r>
    <w:r w:rsidRPr="00A4004C">
      <w:rPr>
        <w:rFonts w:eastAsia="Calibri"/>
        <w:b/>
        <w:bCs/>
        <w:kern w:val="0"/>
        <w:sz w:val="32"/>
        <w:szCs w:val="28"/>
        <w14:ligatures w14:val="none"/>
      </w:rPr>
      <w:t xml:space="preserve">ISSISSIPPI </w:t>
    </w:r>
    <w:r w:rsidRPr="00A4004C">
      <w:rPr>
        <w:rFonts w:eastAsia="Calibri"/>
        <w:b/>
        <w:bCs/>
        <w:kern w:val="0"/>
        <w:sz w:val="52"/>
        <w:szCs w:val="48"/>
        <w14:ligatures w14:val="none"/>
      </w:rPr>
      <w:t>S</w:t>
    </w:r>
    <w:r w:rsidRPr="00A4004C">
      <w:rPr>
        <w:rFonts w:eastAsia="Calibri"/>
        <w:b/>
        <w:bCs/>
        <w:kern w:val="0"/>
        <w:sz w:val="32"/>
        <w:szCs w:val="28"/>
        <w14:ligatures w14:val="none"/>
      </w:rPr>
      <w:t xml:space="preserve">TATE </w:t>
    </w:r>
    <w:r w:rsidRPr="00A4004C">
      <w:rPr>
        <w:rFonts w:eastAsia="Calibri"/>
        <w:b/>
        <w:bCs/>
        <w:kern w:val="0"/>
        <w:sz w:val="52"/>
        <w:szCs w:val="48"/>
        <w14:ligatures w14:val="none"/>
      </w:rPr>
      <w:t>B</w:t>
    </w:r>
    <w:r w:rsidRPr="00A4004C">
      <w:rPr>
        <w:rFonts w:eastAsia="Calibri"/>
        <w:b/>
        <w:bCs/>
        <w:kern w:val="0"/>
        <w:sz w:val="32"/>
        <w:szCs w:val="28"/>
        <w14:ligatures w14:val="none"/>
      </w:rPr>
      <w:t xml:space="preserve">OARD OF </w:t>
    </w:r>
    <w:r w:rsidRPr="00A4004C">
      <w:rPr>
        <w:rFonts w:eastAsia="Calibri"/>
        <w:b/>
        <w:bCs/>
        <w:kern w:val="0"/>
        <w:sz w:val="52"/>
        <w:szCs w:val="48"/>
        <w14:ligatures w14:val="none"/>
      </w:rPr>
      <w:t>D</w:t>
    </w:r>
    <w:r w:rsidRPr="00A4004C">
      <w:rPr>
        <w:rFonts w:eastAsia="Calibri"/>
        <w:b/>
        <w:bCs/>
        <w:kern w:val="0"/>
        <w:sz w:val="32"/>
        <w:szCs w:val="28"/>
        <w14:ligatures w14:val="none"/>
      </w:rPr>
      <w:t xml:space="preserve">ENTAL </w:t>
    </w:r>
    <w:r w:rsidRPr="00A4004C">
      <w:rPr>
        <w:rFonts w:eastAsia="Calibri"/>
        <w:b/>
        <w:bCs/>
        <w:kern w:val="0"/>
        <w:sz w:val="52"/>
        <w:szCs w:val="48"/>
        <w14:ligatures w14:val="none"/>
      </w:rPr>
      <w:t>E</w:t>
    </w:r>
    <w:r w:rsidRPr="00A4004C">
      <w:rPr>
        <w:rFonts w:eastAsia="Calibri"/>
        <w:b/>
        <w:bCs/>
        <w:kern w:val="0"/>
        <w:sz w:val="32"/>
        <w:szCs w:val="28"/>
        <w14:ligatures w14:val="none"/>
      </w:rPr>
      <w:t>XAMINERS</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464"/>
    </w:tblGrid>
    <w:tr w:rsidR="00015088" w:rsidRPr="00A4004C" w14:paraId="7432E94C" w14:textId="77777777" w:rsidTr="0092082A">
      <w:trPr>
        <w:jc w:val="center"/>
      </w:trPr>
      <w:tc>
        <w:tcPr>
          <w:tcW w:w="4896" w:type="dxa"/>
        </w:tcPr>
        <w:p w14:paraId="51B102E4" w14:textId="77777777" w:rsidR="00015088" w:rsidRPr="00A4004C" w:rsidRDefault="00015088" w:rsidP="00A4004C">
          <w:pPr>
            <w:tabs>
              <w:tab w:val="center" w:pos="4680"/>
              <w:tab w:val="right" w:pos="9360"/>
            </w:tabs>
            <w:rPr>
              <w:rFonts w:eastAsia="Calibri"/>
              <w:b/>
              <w:bCs/>
              <w:sz w:val="18"/>
              <w:szCs w:val="16"/>
            </w:rPr>
          </w:pPr>
          <w:r w:rsidRPr="00A4004C">
            <w:rPr>
              <w:rFonts w:eastAsia="Calibri"/>
              <w:noProof/>
            </w:rPr>
            <w:drawing>
              <wp:anchor distT="0" distB="0" distL="114300" distR="114300" simplePos="0" relativeHeight="251659264" behindDoc="0" locked="0" layoutInCell="1" allowOverlap="1" wp14:anchorId="7A62C860" wp14:editId="3AADFC9E">
                <wp:simplePos x="0" y="0"/>
                <wp:positionH relativeFrom="margin">
                  <wp:posOffset>2506980</wp:posOffset>
                </wp:positionH>
                <wp:positionV relativeFrom="page">
                  <wp:posOffset>-29210</wp:posOffset>
                </wp:positionV>
                <wp:extent cx="667512" cy="667512"/>
                <wp:effectExtent l="0" t="0" r="0" b="0"/>
                <wp:wrapNone/>
                <wp:docPr id="942489804" name="Picture 1" descr="A seal of the state of mississippi&#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89804" name="Picture 1" descr="A seal of the state of mississippi&#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12" cy="6675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04C">
            <w:rPr>
              <w:rFonts w:eastAsia="Calibri"/>
              <w:b/>
              <w:bCs/>
              <w:sz w:val="18"/>
              <w:szCs w:val="16"/>
              <w:u w:val="single"/>
            </w:rPr>
            <w:t>Board Officers:</w:t>
          </w:r>
          <w:r w:rsidRPr="00A4004C">
            <w:rPr>
              <w:rFonts w:eastAsia="Calibri"/>
              <w:b/>
              <w:bCs/>
              <w:sz w:val="18"/>
              <w:szCs w:val="16"/>
            </w:rPr>
            <w:tab/>
          </w:r>
          <w:r w:rsidRPr="00A4004C">
            <w:rPr>
              <w:rFonts w:eastAsia="Calibri"/>
              <w:b/>
              <w:bCs/>
              <w:sz w:val="18"/>
              <w:szCs w:val="16"/>
            </w:rPr>
            <w:tab/>
          </w:r>
        </w:p>
        <w:p w14:paraId="0EC8B920" w14:textId="77777777" w:rsidR="00015088" w:rsidRPr="00A4004C" w:rsidRDefault="00015088" w:rsidP="00A4004C">
          <w:pPr>
            <w:tabs>
              <w:tab w:val="center" w:pos="4680"/>
              <w:tab w:val="right" w:pos="9360"/>
            </w:tabs>
            <w:rPr>
              <w:rFonts w:eastAsia="Calibri"/>
              <w:sz w:val="18"/>
              <w:szCs w:val="16"/>
            </w:rPr>
          </w:pPr>
          <w:r w:rsidRPr="00A4004C">
            <w:rPr>
              <w:rFonts w:eastAsia="Calibri"/>
              <w:sz w:val="18"/>
              <w:szCs w:val="16"/>
            </w:rPr>
            <w:t>Mark D. Williams, D.M.D., President</w:t>
          </w:r>
        </w:p>
        <w:p w14:paraId="4572C15D" w14:textId="77777777" w:rsidR="00015088" w:rsidRPr="00A4004C" w:rsidRDefault="00015088" w:rsidP="00A4004C">
          <w:pPr>
            <w:tabs>
              <w:tab w:val="center" w:pos="4680"/>
              <w:tab w:val="right" w:pos="9360"/>
            </w:tabs>
            <w:rPr>
              <w:rFonts w:eastAsia="Calibri"/>
              <w:sz w:val="18"/>
              <w:szCs w:val="16"/>
            </w:rPr>
          </w:pPr>
          <w:r w:rsidRPr="00A4004C">
            <w:rPr>
              <w:rFonts w:eastAsia="Calibri"/>
              <w:sz w:val="18"/>
              <w:szCs w:val="16"/>
            </w:rPr>
            <w:t xml:space="preserve">Marion Lewis Grubbs, D.M.D., Vice-President </w:t>
          </w:r>
        </w:p>
        <w:p w14:paraId="5E70E43A" w14:textId="77777777" w:rsidR="00015088" w:rsidRPr="00A4004C" w:rsidRDefault="00015088" w:rsidP="00A4004C">
          <w:pPr>
            <w:tabs>
              <w:tab w:val="center" w:pos="4680"/>
              <w:tab w:val="right" w:pos="9360"/>
            </w:tabs>
            <w:rPr>
              <w:rFonts w:eastAsia="Calibri"/>
              <w:sz w:val="18"/>
              <w:szCs w:val="16"/>
            </w:rPr>
          </w:pPr>
          <w:r w:rsidRPr="00A4004C">
            <w:rPr>
              <w:rFonts w:eastAsia="Calibri"/>
              <w:sz w:val="18"/>
              <w:szCs w:val="16"/>
            </w:rPr>
            <w:t>Alexa L. Lampkin, D.M.D., Secretary</w:t>
          </w:r>
        </w:p>
        <w:p w14:paraId="2BF05DF0" w14:textId="77777777" w:rsidR="00015088" w:rsidRPr="00A4004C" w:rsidRDefault="00015088" w:rsidP="00A4004C">
          <w:pPr>
            <w:tabs>
              <w:tab w:val="center" w:pos="4680"/>
              <w:tab w:val="right" w:pos="9360"/>
            </w:tabs>
            <w:rPr>
              <w:rFonts w:eastAsia="Calibri"/>
              <w:b/>
              <w:bCs/>
              <w:sz w:val="18"/>
              <w:szCs w:val="16"/>
            </w:rPr>
          </w:pPr>
          <w:r w:rsidRPr="00A4004C">
            <w:rPr>
              <w:rFonts w:eastAsia="Calibri"/>
              <w:b/>
              <w:bCs/>
              <w:noProof/>
              <w:sz w:val="18"/>
              <w:szCs w:val="16"/>
            </w:rPr>
            <mc:AlternateContent>
              <mc:Choice Requires="wps">
                <w:drawing>
                  <wp:anchor distT="45720" distB="45720" distL="114300" distR="114300" simplePos="0" relativeHeight="251660288" behindDoc="1" locked="0" layoutInCell="1" allowOverlap="1" wp14:anchorId="3FC1090C" wp14:editId="6B84EE6B">
                    <wp:simplePos x="0" y="0"/>
                    <wp:positionH relativeFrom="column">
                      <wp:posOffset>1887148</wp:posOffset>
                    </wp:positionH>
                    <wp:positionV relativeFrom="paragraph">
                      <wp:posOffset>80356</wp:posOffset>
                    </wp:positionV>
                    <wp:extent cx="2042795" cy="243068"/>
                    <wp:effectExtent l="0" t="0" r="0" b="5080"/>
                    <wp:wrapNone/>
                    <wp:docPr id="1717793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795" cy="243068"/>
                            </a:xfrm>
                            <a:prstGeom prst="rect">
                              <a:avLst/>
                            </a:prstGeom>
                            <a:solidFill>
                              <a:srgbClr val="FFFFFF"/>
                            </a:solidFill>
                            <a:ln w="9525">
                              <a:noFill/>
                              <a:miter lim="800000"/>
                              <a:headEnd/>
                              <a:tailEnd/>
                            </a:ln>
                          </wps:spPr>
                          <wps:txbx>
                            <w:txbxContent>
                              <w:p w14:paraId="12EFE314" w14:textId="77777777" w:rsidR="00015088" w:rsidRDefault="00015088" w:rsidP="00A4004C">
                                <w:pPr>
                                  <w:jc w:val="center"/>
                                </w:pPr>
                                <w:r w:rsidRPr="00796AD0">
                                  <w:rPr>
                                    <w:sz w:val="18"/>
                                    <w:szCs w:val="18"/>
                                  </w:rPr>
                                  <w:t>Denny Hydrick, Executive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1090C" id="_x0000_t202" coordsize="21600,21600" o:spt="202" path="m,l,21600r21600,l21600,xe">
                    <v:stroke joinstyle="miter"/>
                    <v:path gradientshapeok="t" o:connecttype="rect"/>
                  </v:shapetype>
                  <v:shape id="Text Box 2" o:spid="_x0000_s1026" type="#_x0000_t202" style="position:absolute;margin-left:148.6pt;margin-top:6.35pt;width:160.85pt;height:19.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" stroked="f">
                    <v:textbox>
                      <w:txbxContent>
                        <w:p w14:paraId="12EFE314" w14:textId="77777777" w:rsidR="00015088" w:rsidRDefault="00015088" w:rsidP="00A4004C">
                          <w:pPr>
                            <w:jc w:val="center"/>
                          </w:pPr>
                          <w:r w:rsidRPr="00796AD0">
                            <w:rPr>
                              <w:sz w:val="18"/>
                              <w:szCs w:val="18"/>
                            </w:rPr>
                            <w:t>Denny Hydrick, Executive Director</w:t>
                          </w:r>
                        </w:p>
                      </w:txbxContent>
                    </v:textbox>
                  </v:shape>
                </w:pict>
              </mc:Fallback>
            </mc:AlternateContent>
          </w:r>
        </w:p>
      </w:tc>
      <w:tc>
        <w:tcPr>
          <w:tcW w:w="4675" w:type="dxa"/>
        </w:tcPr>
        <w:p w14:paraId="3F5083FF" w14:textId="77777777" w:rsidR="00015088" w:rsidRPr="00A4004C" w:rsidRDefault="00015088" w:rsidP="00A4004C">
          <w:pPr>
            <w:tabs>
              <w:tab w:val="center" w:pos="4680"/>
              <w:tab w:val="right" w:pos="9360"/>
            </w:tabs>
            <w:jc w:val="right"/>
            <w:rPr>
              <w:rFonts w:eastAsia="Calibri"/>
              <w:b/>
              <w:bCs/>
              <w:sz w:val="18"/>
              <w:szCs w:val="16"/>
            </w:rPr>
          </w:pPr>
          <w:r w:rsidRPr="00A4004C">
            <w:rPr>
              <w:rFonts w:eastAsia="Calibri"/>
              <w:b/>
              <w:bCs/>
              <w:sz w:val="18"/>
              <w:szCs w:val="16"/>
              <w:u w:val="single"/>
            </w:rPr>
            <w:t>Board Members:</w:t>
          </w:r>
        </w:p>
        <w:p w14:paraId="0EE4B63D" w14:textId="77777777" w:rsidR="00015088" w:rsidRPr="00A4004C" w:rsidRDefault="00015088" w:rsidP="00A4004C">
          <w:pPr>
            <w:tabs>
              <w:tab w:val="center" w:pos="4680"/>
              <w:tab w:val="right" w:pos="9360"/>
            </w:tabs>
            <w:jc w:val="right"/>
            <w:rPr>
              <w:rFonts w:eastAsia="Calibri"/>
              <w:sz w:val="18"/>
              <w:szCs w:val="16"/>
            </w:rPr>
          </w:pPr>
          <w:r w:rsidRPr="00A4004C">
            <w:rPr>
              <w:rFonts w:eastAsia="Calibri"/>
              <w:sz w:val="18"/>
              <w:szCs w:val="16"/>
            </w:rPr>
            <w:t xml:space="preserve">Wade C. Bishop D.M.D. </w:t>
          </w:r>
        </w:p>
        <w:p w14:paraId="77300B83" w14:textId="77777777" w:rsidR="00015088" w:rsidRPr="00A4004C" w:rsidRDefault="00015088" w:rsidP="00A4004C">
          <w:pPr>
            <w:tabs>
              <w:tab w:val="center" w:pos="4680"/>
              <w:tab w:val="right" w:pos="9360"/>
            </w:tabs>
            <w:jc w:val="right"/>
            <w:rPr>
              <w:rFonts w:eastAsia="Calibri"/>
              <w:sz w:val="18"/>
              <w:szCs w:val="16"/>
            </w:rPr>
          </w:pPr>
          <w:r w:rsidRPr="00A4004C">
            <w:rPr>
              <w:rFonts w:eastAsia="Calibri"/>
              <w:sz w:val="18"/>
              <w:szCs w:val="16"/>
            </w:rPr>
            <w:t>John B. Carlton, D.M.D.</w:t>
          </w:r>
        </w:p>
        <w:p w14:paraId="09369A21" w14:textId="77777777" w:rsidR="00015088" w:rsidRPr="00A4004C" w:rsidRDefault="00015088" w:rsidP="00A4004C">
          <w:pPr>
            <w:tabs>
              <w:tab w:val="center" w:pos="4680"/>
              <w:tab w:val="right" w:pos="9360"/>
            </w:tabs>
            <w:jc w:val="right"/>
            <w:rPr>
              <w:rFonts w:eastAsia="Calibri"/>
              <w:sz w:val="18"/>
              <w:szCs w:val="16"/>
            </w:rPr>
          </w:pPr>
          <w:r w:rsidRPr="00A4004C">
            <w:rPr>
              <w:rFonts w:eastAsia="Calibri"/>
              <w:sz w:val="18"/>
              <w:szCs w:val="16"/>
            </w:rPr>
            <w:t>David K. Curtis, D.M.D.</w:t>
          </w:r>
        </w:p>
        <w:p w14:paraId="0EC38915" w14:textId="77777777" w:rsidR="00015088" w:rsidRPr="00A4004C" w:rsidRDefault="00015088" w:rsidP="00A4004C">
          <w:pPr>
            <w:tabs>
              <w:tab w:val="center" w:pos="4680"/>
              <w:tab w:val="right" w:pos="9360"/>
            </w:tabs>
            <w:jc w:val="right"/>
            <w:rPr>
              <w:rFonts w:eastAsia="Calibri"/>
              <w:sz w:val="18"/>
              <w:szCs w:val="16"/>
            </w:rPr>
          </w:pPr>
          <w:r w:rsidRPr="00A4004C">
            <w:rPr>
              <w:rFonts w:eastAsia="Calibri"/>
              <w:sz w:val="18"/>
              <w:szCs w:val="16"/>
            </w:rPr>
            <w:t>Stephen W. Joe, D.M.D.</w:t>
          </w:r>
        </w:p>
        <w:p w14:paraId="7E6E9ABB" w14:textId="77777777" w:rsidR="00015088" w:rsidRPr="00A4004C" w:rsidRDefault="00015088" w:rsidP="00A4004C">
          <w:pPr>
            <w:tabs>
              <w:tab w:val="center" w:pos="4680"/>
              <w:tab w:val="right" w:pos="9360"/>
            </w:tabs>
            <w:jc w:val="right"/>
            <w:rPr>
              <w:rFonts w:eastAsia="Calibri"/>
              <w:sz w:val="18"/>
              <w:szCs w:val="16"/>
            </w:rPr>
          </w:pPr>
          <w:r w:rsidRPr="00A4004C">
            <w:rPr>
              <w:rFonts w:eastAsia="Calibri"/>
              <w:sz w:val="18"/>
              <w:szCs w:val="16"/>
            </w:rPr>
            <w:t>Haley Harrison Birmingham, R.D.H.</w:t>
          </w:r>
        </w:p>
      </w:tc>
    </w:tr>
  </w:tbl>
  <w:p w14:paraId="602D0211" w14:textId="77777777" w:rsidR="00015088" w:rsidRPr="00A4004C" w:rsidRDefault="00680D57" w:rsidP="00A4004C">
    <w:pPr>
      <w:tabs>
        <w:tab w:val="center" w:pos="4680"/>
        <w:tab w:val="right" w:pos="9360"/>
      </w:tabs>
      <w:spacing w:after="0" w:line="240" w:lineRule="auto"/>
      <w:rPr>
        <w:rFonts w:eastAsia="Calibri"/>
        <w:kern w:val="0"/>
        <w:sz w:val="18"/>
        <w:szCs w:val="16"/>
        <w14:ligatures w14:val="none"/>
      </w:rPr>
    </w:pPr>
    <w:r>
      <w:rPr>
        <w:rFonts w:eastAsia="Calibri"/>
        <w:kern w:val="0"/>
        <w:sz w:val="18"/>
        <w:szCs w:val="16"/>
        <w14:ligatures w14:val="none"/>
      </w:rPr>
      <w:pict w14:anchorId="4DC887C4">
        <v:rect id="_x0000_i1025" style="width:0;height:1.5pt" o:hralign="center" o:hrstd="t" o:hr="t" fillcolor="#a0a0a0" stroked="f"/>
      </w:pict>
    </w:r>
  </w:p>
  <w:tbl>
    <w:tblPr>
      <w:tblStyle w:val="TableGrid1"/>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2830"/>
      <w:gridCol w:w="3336"/>
    </w:tblGrid>
    <w:tr w:rsidR="00015088" w:rsidRPr="00A4004C" w14:paraId="763E1B7C" w14:textId="77777777" w:rsidTr="0092082A">
      <w:tc>
        <w:tcPr>
          <w:tcW w:w="2880" w:type="dxa"/>
        </w:tcPr>
        <w:p w14:paraId="39B530F3" w14:textId="77777777" w:rsidR="00015088" w:rsidRPr="00A4004C" w:rsidRDefault="00015088" w:rsidP="00A4004C">
          <w:pPr>
            <w:tabs>
              <w:tab w:val="center" w:pos="4680"/>
              <w:tab w:val="right" w:pos="9360"/>
            </w:tabs>
            <w:rPr>
              <w:rFonts w:eastAsia="Calibri"/>
              <w:sz w:val="18"/>
              <w:szCs w:val="16"/>
            </w:rPr>
          </w:pPr>
          <w:r w:rsidRPr="00A4004C">
            <w:rPr>
              <w:rFonts w:eastAsia="Calibri"/>
              <w:sz w:val="18"/>
              <w:szCs w:val="16"/>
            </w:rPr>
            <w:t>Telephone: (601) 944-9622</w:t>
          </w:r>
        </w:p>
        <w:p w14:paraId="7723ADE5" w14:textId="77777777" w:rsidR="00015088" w:rsidRPr="00A4004C" w:rsidRDefault="00015088" w:rsidP="00A4004C">
          <w:pPr>
            <w:tabs>
              <w:tab w:val="center" w:pos="4680"/>
              <w:tab w:val="right" w:pos="9360"/>
            </w:tabs>
            <w:rPr>
              <w:rFonts w:eastAsia="Calibri"/>
              <w:sz w:val="18"/>
              <w:szCs w:val="16"/>
            </w:rPr>
          </w:pPr>
          <w:r w:rsidRPr="00A4004C">
            <w:rPr>
              <w:rFonts w:eastAsia="Calibri"/>
              <w:sz w:val="18"/>
              <w:szCs w:val="16"/>
            </w:rPr>
            <w:t>Facsimile: (601) 944-9624</w:t>
          </w:r>
        </w:p>
      </w:tc>
      <w:tc>
        <w:tcPr>
          <w:tcW w:w="2970" w:type="dxa"/>
        </w:tcPr>
        <w:p w14:paraId="2ED31F4E" w14:textId="77777777" w:rsidR="00015088" w:rsidRPr="00A4004C" w:rsidRDefault="00015088" w:rsidP="00A4004C">
          <w:pPr>
            <w:tabs>
              <w:tab w:val="center" w:pos="4680"/>
              <w:tab w:val="right" w:pos="9360"/>
            </w:tabs>
            <w:jc w:val="center"/>
            <w:rPr>
              <w:rFonts w:eastAsia="Calibri"/>
              <w:sz w:val="18"/>
              <w:szCs w:val="16"/>
            </w:rPr>
          </w:pPr>
          <w:r w:rsidRPr="00A4004C">
            <w:rPr>
              <w:rFonts w:eastAsia="Calibri"/>
              <w:sz w:val="18"/>
              <w:szCs w:val="16"/>
            </w:rPr>
            <w:t>715 S. Pear Orchard Rd., Suite 200</w:t>
          </w:r>
        </w:p>
        <w:p w14:paraId="7464C993" w14:textId="77777777" w:rsidR="00015088" w:rsidRPr="00A4004C" w:rsidRDefault="00015088" w:rsidP="00A4004C">
          <w:pPr>
            <w:tabs>
              <w:tab w:val="center" w:pos="4680"/>
              <w:tab w:val="right" w:pos="9360"/>
            </w:tabs>
            <w:jc w:val="center"/>
            <w:rPr>
              <w:rFonts w:eastAsia="Calibri"/>
              <w:sz w:val="18"/>
              <w:szCs w:val="16"/>
            </w:rPr>
          </w:pPr>
          <w:r w:rsidRPr="00A4004C">
            <w:rPr>
              <w:rFonts w:eastAsia="Calibri"/>
              <w:sz w:val="18"/>
              <w:szCs w:val="16"/>
            </w:rPr>
            <w:t>Ridgeland, MS 39157</w:t>
          </w:r>
        </w:p>
      </w:tc>
      <w:tc>
        <w:tcPr>
          <w:tcW w:w="3420" w:type="dxa"/>
        </w:tcPr>
        <w:p w14:paraId="59960F3A" w14:textId="62B6A84A" w:rsidR="00015088" w:rsidRPr="00A4004C" w:rsidRDefault="00015088" w:rsidP="00A4004C">
          <w:pPr>
            <w:tabs>
              <w:tab w:val="center" w:pos="4680"/>
              <w:tab w:val="right" w:pos="9360"/>
            </w:tabs>
            <w:jc w:val="right"/>
            <w:rPr>
              <w:rFonts w:eastAsia="Calibri"/>
              <w:sz w:val="18"/>
              <w:szCs w:val="16"/>
            </w:rPr>
          </w:pPr>
          <w:r w:rsidRPr="00A4004C">
            <w:rPr>
              <w:rFonts w:eastAsia="Calibri"/>
              <w:sz w:val="18"/>
              <w:szCs w:val="16"/>
            </w:rPr>
            <w:t xml:space="preserve">     Internet: </w:t>
          </w:r>
          <w:hyperlink r:id="rId2" w:history="1">
            <w:r w:rsidRPr="00A4004C">
              <w:rPr>
                <w:rFonts w:eastAsia="Calibri"/>
                <w:color w:val="0563C1"/>
                <w:sz w:val="18"/>
                <w:szCs w:val="16"/>
                <w:u w:val="single"/>
              </w:rPr>
              <w:t>www.dentalboard.ms.gov</w:t>
            </w:r>
          </w:hyperlink>
          <w:r w:rsidRPr="00A4004C">
            <w:rPr>
              <w:rFonts w:eastAsia="Calibri"/>
              <w:sz w:val="18"/>
              <w:szCs w:val="16"/>
            </w:rPr>
            <w:t xml:space="preserve"> </w:t>
          </w:r>
        </w:p>
        <w:p w14:paraId="6CD3039A" w14:textId="35A46F18" w:rsidR="00015088" w:rsidRPr="00A4004C" w:rsidRDefault="00015088" w:rsidP="00A4004C">
          <w:pPr>
            <w:tabs>
              <w:tab w:val="center" w:pos="4680"/>
              <w:tab w:val="right" w:pos="9360"/>
            </w:tabs>
            <w:jc w:val="right"/>
            <w:rPr>
              <w:rFonts w:eastAsia="Calibri"/>
              <w:sz w:val="18"/>
              <w:szCs w:val="16"/>
            </w:rPr>
          </w:pPr>
          <w:r w:rsidRPr="00A4004C">
            <w:rPr>
              <w:rFonts w:eastAsia="Calibri"/>
              <w:sz w:val="18"/>
              <w:szCs w:val="16"/>
            </w:rPr>
            <w:t xml:space="preserve">E-Mail: </w:t>
          </w:r>
          <w:hyperlink r:id="rId3" w:history="1">
            <w:r w:rsidRPr="00A4004C">
              <w:rPr>
                <w:rFonts w:eastAsia="Calibri"/>
                <w:color w:val="0563C1"/>
                <w:sz w:val="18"/>
                <w:szCs w:val="16"/>
                <w:u w:val="single"/>
              </w:rPr>
              <w:t>dental@dentalboard.ms.gov</w:t>
            </w:r>
          </w:hyperlink>
          <w:r w:rsidRPr="00A4004C">
            <w:rPr>
              <w:rFonts w:eastAsia="Calibri"/>
              <w:sz w:val="18"/>
              <w:szCs w:val="16"/>
            </w:rPr>
            <w:t xml:space="preserve"> </w:t>
          </w:r>
        </w:p>
      </w:tc>
    </w:tr>
  </w:tbl>
  <w:p w14:paraId="47B15DA8" w14:textId="77777777" w:rsidR="00015088" w:rsidRPr="00A4004C" w:rsidRDefault="00680D57" w:rsidP="00A4004C">
    <w:pPr>
      <w:tabs>
        <w:tab w:val="center" w:pos="4680"/>
        <w:tab w:val="right" w:pos="9360"/>
      </w:tabs>
      <w:spacing w:after="0" w:line="240" w:lineRule="auto"/>
      <w:rPr>
        <w:rFonts w:eastAsia="Calibri"/>
        <w:kern w:val="0"/>
        <w:szCs w:val="22"/>
        <w14:ligatures w14:val="none"/>
      </w:rPr>
    </w:pPr>
    <w:r>
      <w:rPr>
        <w:rFonts w:eastAsia="Calibri"/>
        <w:kern w:val="0"/>
        <w:sz w:val="18"/>
        <w:szCs w:val="16"/>
        <w14:ligatures w14:val="none"/>
      </w:rPr>
      <w:pict w14:anchorId="210D367B">
        <v:rect id="_x0000_i1026" style="width:0;height:1.5pt" o:hralign="center" o:hrstd="t" o:hr="t" fillcolor="#a0a0a0" stroked="f"/>
      </w:pict>
    </w:r>
  </w:p>
  <w:p w14:paraId="29EA0AEA" w14:textId="77777777" w:rsidR="00015088" w:rsidRDefault="00015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E6A6A"/>
    <w:multiLevelType w:val="hybridMultilevel"/>
    <w:tmpl w:val="815C15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40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88"/>
    <w:rsid w:val="00015088"/>
    <w:rsid w:val="00142082"/>
    <w:rsid w:val="001D01DA"/>
    <w:rsid w:val="00207C4E"/>
    <w:rsid w:val="00262350"/>
    <w:rsid w:val="00265112"/>
    <w:rsid w:val="00424FA6"/>
    <w:rsid w:val="00432006"/>
    <w:rsid w:val="00552CBC"/>
    <w:rsid w:val="00680D57"/>
    <w:rsid w:val="00743B47"/>
    <w:rsid w:val="00B20ADA"/>
    <w:rsid w:val="00DA5D41"/>
    <w:rsid w:val="00E6169F"/>
    <w:rsid w:val="00F441F7"/>
    <w:rsid w:val="00FF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0635DC"/>
  <w15:chartTrackingRefBased/>
  <w15:docId w15:val="{E7CAF48E-2D91-472C-87E2-D87E71C0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08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08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508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50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508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508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508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08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08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508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508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508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508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508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5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0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08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5088"/>
    <w:pPr>
      <w:spacing w:before="160"/>
      <w:jc w:val="center"/>
    </w:pPr>
    <w:rPr>
      <w:i/>
      <w:iCs/>
      <w:color w:val="404040" w:themeColor="text1" w:themeTint="BF"/>
    </w:rPr>
  </w:style>
  <w:style w:type="character" w:customStyle="1" w:styleId="QuoteChar">
    <w:name w:val="Quote Char"/>
    <w:basedOn w:val="DefaultParagraphFont"/>
    <w:link w:val="Quote"/>
    <w:uiPriority w:val="29"/>
    <w:rsid w:val="00015088"/>
    <w:rPr>
      <w:i/>
      <w:iCs/>
      <w:color w:val="404040" w:themeColor="text1" w:themeTint="BF"/>
    </w:rPr>
  </w:style>
  <w:style w:type="paragraph" w:styleId="ListParagraph">
    <w:name w:val="List Paragraph"/>
    <w:basedOn w:val="Normal"/>
    <w:uiPriority w:val="34"/>
    <w:qFormat/>
    <w:rsid w:val="00015088"/>
    <w:pPr>
      <w:ind w:left="720"/>
      <w:contextualSpacing/>
    </w:pPr>
  </w:style>
  <w:style w:type="character" w:styleId="IntenseEmphasis">
    <w:name w:val="Intense Emphasis"/>
    <w:basedOn w:val="DefaultParagraphFont"/>
    <w:uiPriority w:val="21"/>
    <w:qFormat/>
    <w:rsid w:val="00015088"/>
    <w:rPr>
      <w:i/>
      <w:iCs/>
      <w:color w:val="0F4761" w:themeColor="accent1" w:themeShade="BF"/>
    </w:rPr>
  </w:style>
  <w:style w:type="paragraph" w:styleId="IntenseQuote">
    <w:name w:val="Intense Quote"/>
    <w:basedOn w:val="Normal"/>
    <w:next w:val="Normal"/>
    <w:link w:val="IntenseQuoteChar"/>
    <w:uiPriority w:val="30"/>
    <w:qFormat/>
    <w:rsid w:val="00015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088"/>
    <w:rPr>
      <w:i/>
      <w:iCs/>
      <w:color w:val="0F4761" w:themeColor="accent1" w:themeShade="BF"/>
    </w:rPr>
  </w:style>
  <w:style w:type="character" w:styleId="IntenseReference">
    <w:name w:val="Intense Reference"/>
    <w:basedOn w:val="DefaultParagraphFont"/>
    <w:uiPriority w:val="32"/>
    <w:qFormat/>
    <w:rsid w:val="00015088"/>
    <w:rPr>
      <w:b/>
      <w:bCs/>
      <w:smallCaps/>
      <w:color w:val="0F4761" w:themeColor="accent1" w:themeShade="BF"/>
      <w:spacing w:val="5"/>
    </w:rPr>
  </w:style>
  <w:style w:type="paragraph" w:styleId="Header">
    <w:name w:val="header"/>
    <w:basedOn w:val="Normal"/>
    <w:link w:val="HeaderChar"/>
    <w:uiPriority w:val="99"/>
    <w:unhideWhenUsed/>
    <w:rsid w:val="0001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088"/>
  </w:style>
  <w:style w:type="paragraph" w:styleId="Footer">
    <w:name w:val="footer"/>
    <w:basedOn w:val="Normal"/>
    <w:link w:val="FooterChar"/>
    <w:uiPriority w:val="99"/>
    <w:unhideWhenUsed/>
    <w:rsid w:val="0001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088"/>
  </w:style>
  <w:style w:type="table" w:customStyle="1" w:styleId="TableGrid1">
    <w:name w:val="Table Grid1"/>
    <w:basedOn w:val="TableNormal"/>
    <w:next w:val="TableGrid"/>
    <w:uiPriority w:val="39"/>
    <w:rsid w:val="00015088"/>
    <w:pPr>
      <w:spacing w:after="0" w:line="240" w:lineRule="auto"/>
    </w:pPr>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5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ental@dentalboard.ms.gov" TargetMode="External"/><Relationship Id="rId2" Type="http://schemas.openxmlformats.org/officeDocument/2006/relationships/hyperlink" Target="http://www.dentalboard.ms.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hearng guidelines</dc:title>
  <dc:subject>Approved July 25, 2025</dc:subject>
  <dc:creator>Westley Mutziger</dc:creator>
  <cp:keywords/>
  <dc:description/>
  <cp:lastModifiedBy>Dennis Hydrick</cp:lastModifiedBy>
  <cp:revision>2</cp:revision>
  <cp:lastPrinted>2025-07-23T21:16:00Z</cp:lastPrinted>
  <dcterms:created xsi:type="dcterms:W3CDTF">2025-07-28T17:07:00Z</dcterms:created>
  <dcterms:modified xsi:type="dcterms:W3CDTF">2025-07-28T17:07:00Z</dcterms:modified>
</cp:coreProperties>
</file>